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24" w:type="dxa"/>
        <w:tblLook w:val="04A0" w:firstRow="1" w:lastRow="0" w:firstColumn="1" w:lastColumn="0" w:noHBand="0" w:noVBand="1"/>
      </w:tblPr>
      <w:tblGrid>
        <w:gridCol w:w="2660"/>
        <w:gridCol w:w="1559"/>
        <w:gridCol w:w="4253"/>
        <w:gridCol w:w="4652"/>
      </w:tblGrid>
      <w:tr w:rsidR="001E2F8B" w14:paraId="5AF2C048" w14:textId="77777777" w:rsidTr="00AE1881">
        <w:trPr>
          <w:trHeight w:val="699"/>
        </w:trPr>
        <w:tc>
          <w:tcPr>
            <w:tcW w:w="2660" w:type="dxa"/>
            <w:shd w:val="clear" w:color="auto" w:fill="17365D" w:themeFill="text2" w:themeFillShade="BF"/>
          </w:tcPr>
          <w:p w14:paraId="5AF2C044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Item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14:paraId="5AF2C045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Amount</w:t>
            </w:r>
          </w:p>
        </w:tc>
        <w:tc>
          <w:tcPr>
            <w:tcW w:w="4253" w:type="dxa"/>
            <w:shd w:val="clear" w:color="auto" w:fill="17365D" w:themeFill="text2" w:themeFillShade="BF"/>
          </w:tcPr>
          <w:p w14:paraId="5AF2C046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Rationale</w:t>
            </w:r>
          </w:p>
        </w:tc>
        <w:tc>
          <w:tcPr>
            <w:tcW w:w="4652" w:type="dxa"/>
            <w:shd w:val="clear" w:color="auto" w:fill="17365D" w:themeFill="text2" w:themeFillShade="BF"/>
          </w:tcPr>
          <w:p w14:paraId="5AF2C047" w14:textId="77777777" w:rsidR="001E2F8B" w:rsidRPr="00EF5151" w:rsidRDefault="001E2F8B">
            <w:pPr>
              <w:rPr>
                <w:rFonts w:ascii="Comic Sans MS" w:hAnsi="Comic Sans MS"/>
                <w:b/>
                <w:color w:val="FFFFFF" w:themeColor="background1"/>
                <w:sz w:val="36"/>
              </w:rPr>
            </w:pPr>
            <w:r w:rsidRPr="00EF5151">
              <w:rPr>
                <w:rFonts w:ascii="Comic Sans MS" w:hAnsi="Comic Sans MS"/>
                <w:b/>
                <w:color w:val="FFFFFF" w:themeColor="background1"/>
                <w:sz w:val="36"/>
              </w:rPr>
              <w:t>Outcome</w:t>
            </w:r>
          </w:p>
        </w:tc>
      </w:tr>
      <w:tr w:rsidR="001E2F8B" w14:paraId="5AF2C04E" w14:textId="77777777" w:rsidTr="00AE1881">
        <w:trPr>
          <w:trHeight w:val="1155"/>
        </w:trPr>
        <w:tc>
          <w:tcPr>
            <w:tcW w:w="2660" w:type="dxa"/>
            <w:shd w:val="clear" w:color="auto" w:fill="DBE5F1" w:themeFill="accent1" w:themeFillTint="33"/>
          </w:tcPr>
          <w:p w14:paraId="5AF2C049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Acquisition of a quality assured outstanding PE practitioner to deliver one session of PE to every class each week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AF2C04A" w14:textId="770354FC" w:rsidR="001E2F8B" w:rsidRPr="00EF5151" w:rsidRDefault="005C79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£38, 194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5AF2C04B" w14:textId="77777777" w:rsidR="001E2F8B" w:rsidRPr="00EF5151" w:rsidRDefault="000A06A8" w:rsidP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increase the quality of PE provision for every child. </w:t>
            </w:r>
            <w:r w:rsidR="001E2F8B" w:rsidRPr="00EF5151">
              <w:rPr>
                <w:rFonts w:ascii="Comic Sans MS" w:hAnsi="Comic Sans MS"/>
              </w:rPr>
              <w:t>To increase the number of sports available to children throughout the school.</w:t>
            </w:r>
          </w:p>
          <w:p w14:paraId="5AF2C04C" w14:textId="77777777" w:rsidR="001E2F8B" w:rsidRPr="00EF5151" w:rsidRDefault="001E2F8B" w:rsidP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teachers’ confidence in delivering high quality PE lessons.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5AF2C04D" w14:textId="77777777" w:rsidR="001E2F8B" w:rsidRPr="00EF5151" w:rsidRDefault="001E2F8B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Every child in the school receives outstanding PE sessions every week.</w:t>
            </w:r>
          </w:p>
        </w:tc>
      </w:tr>
      <w:tr w:rsidR="001E2F8B" w14:paraId="5AF2C054" w14:textId="77777777" w:rsidTr="00AE1881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5AF2C04F" w14:textId="58F1727F" w:rsidR="000A06A8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PE Equipment</w:t>
            </w:r>
            <w:r w:rsidR="00574D6D">
              <w:rPr>
                <w:rFonts w:ascii="Comic Sans MS" w:hAnsi="Comic Sans MS"/>
              </w:rPr>
              <w:t>:</w:t>
            </w:r>
          </w:p>
          <w:p w14:paraId="5AF2C050" w14:textId="77777777" w:rsidR="001E2F8B" w:rsidRPr="00EF5151" w:rsidRDefault="001E2F8B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Purchase of new PE equipment to </w:t>
            </w:r>
            <w:r w:rsidR="000A06A8" w:rsidRPr="00EF5151">
              <w:rPr>
                <w:rFonts w:ascii="Comic Sans MS" w:hAnsi="Comic Sans MS"/>
              </w:rPr>
              <w:t>ensure outstanding resources available to every child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AF2C051" w14:textId="225CB16A" w:rsidR="009751E2" w:rsidRPr="00EF5151" w:rsidRDefault="009751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£419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5AF2C052" w14:textId="77777777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ensure all PE lessons and clubs are appropriately resourced. To maintain the quality of PE equipment. To ensure that playtime equipment is widely available. 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5AF2C053" w14:textId="77777777" w:rsidR="001E2F8B" w:rsidRPr="00EF5151" w:rsidRDefault="000A06A8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All PE lessons are appropriately resourced with quality equipment. All clubs and playtimes have access to quality equipment. All equipment is safe for purpose. </w:t>
            </w:r>
            <w:bookmarkStart w:id="0" w:name="_GoBack"/>
            <w:bookmarkEnd w:id="0"/>
          </w:p>
        </w:tc>
      </w:tr>
      <w:tr w:rsidR="001E2F8B" w14:paraId="5AF2C05B" w14:textId="77777777" w:rsidTr="00AE1881">
        <w:trPr>
          <w:trHeight w:val="1155"/>
        </w:trPr>
        <w:tc>
          <w:tcPr>
            <w:tcW w:w="2660" w:type="dxa"/>
            <w:shd w:val="clear" w:color="auto" w:fill="DBE5F1" w:themeFill="accent1" w:themeFillTint="33"/>
          </w:tcPr>
          <w:p w14:paraId="5AF2C055" w14:textId="38257011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Skipping Workshops</w:t>
            </w:r>
            <w:r w:rsidR="00574D6D">
              <w:rPr>
                <w:rFonts w:ascii="Comic Sans MS" w:hAnsi="Comic Sans MS"/>
              </w:rPr>
              <w:t>:</w:t>
            </w:r>
          </w:p>
          <w:p w14:paraId="5AF2C056" w14:textId="7F57313B" w:rsidR="000A06A8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All classes to receive an hour of skipping taught by a quality assured coach</w:t>
            </w:r>
            <w:r w:rsidR="00574D6D">
              <w:rPr>
                <w:rFonts w:ascii="Comic Sans MS" w:hAnsi="Comic Sans MS"/>
              </w:rPr>
              <w:t>, annually</w:t>
            </w:r>
            <w:r w:rsidR="004D2FFF">
              <w:rPr>
                <w:rFonts w:ascii="Comic Sans MS" w:hAnsi="Comic Sans MS"/>
              </w:rPr>
              <w:t>.</w:t>
            </w:r>
            <w:r w:rsidR="004D2FFF">
              <w:t xml:space="preserve"> </w:t>
            </w:r>
            <w:r w:rsidR="004D2FFF" w:rsidRPr="004D2FFF">
              <w:rPr>
                <w:rFonts w:ascii="Comic Sans MS" w:hAnsi="Comic Sans MS"/>
              </w:rPr>
              <w:t>Key Stage 2 pupils to receive training in delivering skipping games to children at playtimes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AF2C057" w14:textId="0825A662" w:rsidR="001E2F8B" w:rsidRPr="00EF5151" w:rsidRDefault="004D2F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£355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5AF2C059" w14:textId="16E5926D" w:rsidR="001E2F8B" w:rsidRPr="00EF5151" w:rsidRDefault="000A06A8" w:rsidP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increase the quality of PE provision for every child. To increase the number of sports available to children throughout the school.</w:t>
            </w:r>
            <w:r w:rsidR="004D2FFF">
              <w:rPr>
                <w:rFonts w:ascii="Comic Sans MS" w:hAnsi="Comic Sans MS"/>
              </w:rPr>
              <w:t xml:space="preserve"> </w:t>
            </w:r>
            <w:r w:rsidRPr="00EF5151">
              <w:rPr>
                <w:rFonts w:ascii="Comic Sans MS" w:hAnsi="Comic Sans MS"/>
              </w:rPr>
              <w:t>To increase teachers’ confidence in delivering high quality PE lessons.</w:t>
            </w:r>
            <w:r w:rsidR="004D2FFF">
              <w:t xml:space="preserve"> </w:t>
            </w:r>
            <w:r w:rsidR="004D2FFF" w:rsidRPr="004D2FFF">
              <w:rPr>
                <w:rFonts w:ascii="Comic Sans MS" w:hAnsi="Comic Sans MS"/>
              </w:rPr>
              <w:t>To increase the quality of activities available to children at playtimes. To promote skipping across the school. To promote positive relationships amongst children and increase independence.</w:t>
            </w:r>
          </w:p>
        </w:tc>
        <w:tc>
          <w:tcPr>
            <w:tcW w:w="4652" w:type="dxa"/>
            <w:shd w:val="clear" w:color="auto" w:fill="DBE5F1" w:themeFill="accent1" w:themeFillTint="33"/>
          </w:tcPr>
          <w:p w14:paraId="5AF2C05A" w14:textId="57F23C5C" w:rsidR="001E2F8B" w:rsidRPr="00EF5151" w:rsidRDefault="000A06A8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Every class received an hour of skipping from an outstanding practitioner. The enjoyment of skipping was promoted acr</w:t>
            </w:r>
            <w:r w:rsidR="006D5333" w:rsidRPr="00EF5151">
              <w:rPr>
                <w:rFonts w:ascii="Comic Sans MS" w:hAnsi="Comic Sans MS"/>
              </w:rPr>
              <w:t xml:space="preserve">oss the school and clear to see in the playgrounds. </w:t>
            </w:r>
            <w:r w:rsidR="004D2FFF" w:rsidRPr="004D2FFF">
              <w:rPr>
                <w:rFonts w:ascii="Comic Sans MS" w:hAnsi="Comic Sans MS"/>
              </w:rPr>
              <w:t>Key Stage 2 children were trained to teach other children a wide range of skipping games at playtimes.</w:t>
            </w:r>
          </w:p>
        </w:tc>
      </w:tr>
      <w:tr w:rsidR="00F120D9" w14:paraId="5AF2C06E" w14:textId="77777777" w:rsidTr="00AE1881">
        <w:trPr>
          <w:trHeight w:val="983"/>
        </w:trPr>
        <w:tc>
          <w:tcPr>
            <w:tcW w:w="2660" w:type="dxa"/>
            <w:shd w:val="clear" w:color="auto" w:fill="DBE5F1" w:themeFill="accent1" w:themeFillTint="33"/>
          </w:tcPr>
          <w:p w14:paraId="5AF2C069" w14:textId="77777777" w:rsidR="00F120D9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Acquisition of new school football kits</w:t>
            </w:r>
            <w:r w:rsidR="00EF5151" w:rsidRPr="00EF5151">
              <w:rPr>
                <w:rFonts w:ascii="Comic Sans MS" w:hAnsi="Comic Sans MS"/>
              </w:rPr>
              <w:t xml:space="preserve"> to celebrate the school’s success.</w:t>
            </w:r>
          </w:p>
          <w:p w14:paraId="5AF2C06A" w14:textId="72387617" w:rsidR="00F120D9" w:rsidRPr="00EF5151" w:rsidRDefault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Brand new kits for girls and boys football teams</w:t>
            </w:r>
            <w:r w:rsidR="00EF5151" w:rsidRPr="00EF5151">
              <w:rPr>
                <w:rFonts w:ascii="Comic Sans MS" w:hAnsi="Comic Sans MS"/>
              </w:rPr>
              <w:t>, and trophies</w:t>
            </w:r>
            <w:r w:rsidR="009751E2">
              <w:rPr>
                <w:rFonts w:ascii="Comic Sans MS" w:hAnsi="Comic Sans MS"/>
              </w:rPr>
              <w:t>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5AF2C06B" w14:textId="1890B2D3" w:rsidR="004D2FFF" w:rsidRPr="00EF5151" w:rsidRDefault="004D2F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£667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F2C06C" w14:textId="77777777" w:rsidR="00F120D9" w:rsidRPr="00EF5151" w:rsidRDefault="00F120D9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To promote football across the school. To celebrate the success of our sports teams last year. To increase the number of children taking part in football clubs.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F2C06D" w14:textId="25ECDF89" w:rsidR="00F120D9" w:rsidRPr="00EF5151" w:rsidRDefault="00F120D9" w:rsidP="00574D6D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The number of children attending football clubs has risen si</w:t>
            </w:r>
            <w:r w:rsidR="00574D6D">
              <w:rPr>
                <w:rFonts w:ascii="Comic Sans MS" w:hAnsi="Comic Sans MS"/>
              </w:rPr>
              <w:t>gnificantly. The school now offers 3 football clubs each week. The school has won</w:t>
            </w:r>
            <w:r w:rsidRPr="00EF5151">
              <w:rPr>
                <w:rFonts w:ascii="Comic Sans MS" w:hAnsi="Comic Sans MS"/>
              </w:rPr>
              <w:t xml:space="preserve"> the boys</w:t>
            </w:r>
            <w:r w:rsidR="00574D6D">
              <w:rPr>
                <w:rFonts w:ascii="Comic Sans MS" w:hAnsi="Comic Sans MS"/>
              </w:rPr>
              <w:t>’</w:t>
            </w:r>
            <w:r w:rsidRPr="00EF5151">
              <w:rPr>
                <w:rFonts w:ascii="Comic Sans MS" w:hAnsi="Comic Sans MS"/>
              </w:rPr>
              <w:t xml:space="preserve"> football league trophy</w:t>
            </w:r>
            <w:r w:rsidR="00574D6D">
              <w:rPr>
                <w:rFonts w:ascii="Comic Sans MS" w:hAnsi="Comic Sans MS"/>
              </w:rPr>
              <w:t xml:space="preserve"> 3 times in the last 5 years</w:t>
            </w:r>
            <w:r w:rsidRPr="00EF5151">
              <w:rPr>
                <w:rFonts w:ascii="Comic Sans MS" w:hAnsi="Comic Sans MS"/>
              </w:rPr>
              <w:t xml:space="preserve"> and the girls </w:t>
            </w:r>
            <w:r w:rsidR="00574D6D">
              <w:rPr>
                <w:rFonts w:ascii="Comic Sans MS" w:hAnsi="Comic Sans MS"/>
              </w:rPr>
              <w:t xml:space="preserve">have won it twice in that time. </w:t>
            </w:r>
          </w:p>
        </w:tc>
      </w:tr>
      <w:tr w:rsidR="00F120D9" w14:paraId="5AF2C074" w14:textId="77777777" w:rsidTr="00AE1881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5AF2C06F" w14:textId="77777777" w:rsidR="00F120D9" w:rsidRPr="00EF5151" w:rsidRDefault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Year 4 Swimming</w:t>
            </w:r>
          </w:p>
          <w:p w14:paraId="5AF2C070" w14:textId="77777777" w:rsidR="00EF5151" w:rsidRPr="00EF5151" w:rsidRDefault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>Provide facilities for Year 4 swimming to take place during the summer terms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AF2C071" w14:textId="24475D60" w:rsidR="009A6C60" w:rsidRPr="00EF5151" w:rsidRDefault="009A6C6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£5,278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F2C072" w14:textId="77777777" w:rsidR="00F120D9" w:rsidRPr="00EF5151" w:rsidRDefault="00EF5151" w:rsidP="00F120D9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To improve standards of swimming. All children, when in Year 4, to receive one swimming lesson per week throughout the summer term.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F2C073" w14:textId="77777777" w:rsidR="00F120D9" w:rsidRPr="00EF5151" w:rsidRDefault="00EF5151" w:rsidP="00EF5151">
            <w:pPr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</w:rPr>
              <w:t xml:space="preserve">Year 4 enjoy swimming lessons each week during the summer term. The standard of swimming in Year 4 children is significantly increased. </w:t>
            </w:r>
          </w:p>
        </w:tc>
      </w:tr>
      <w:tr w:rsidR="0027168A" w14:paraId="24ED06FA" w14:textId="77777777" w:rsidTr="009D73B9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1977EBE7" w14:textId="3BAD5F5F" w:rsidR="0027168A" w:rsidRDefault="0027168A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increase the range of extra-curricular clubs and activities available to pupils.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8A1AB00" w14:textId="5C75FD50" w:rsidR="0027168A" w:rsidRPr="00EF5151" w:rsidRDefault="0027168A" w:rsidP="00826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</w:t>
            </w:r>
            <w:r w:rsidR="00826239">
              <w:rPr>
                <w:rFonts w:ascii="Comic Sans MS" w:hAnsi="Comic Sans MS"/>
                <w:sz w:val="28"/>
              </w:rPr>
              <w:t>517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29EDAC" w14:textId="754E5C47" w:rsidR="0027168A" w:rsidRDefault="0027168A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provide more opportunities for all pupils to take part in an extra-curricular club. </w:t>
            </w:r>
            <w:r w:rsidRPr="004D2FFF">
              <w:rPr>
                <w:rFonts w:ascii="Comic Sans MS" w:hAnsi="Comic Sans MS"/>
              </w:rPr>
              <w:t>To increase the quality of PE provision for every child. To increase the number of sports available to children throughout the school.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B583AA" w14:textId="77777777" w:rsidR="0027168A" w:rsidRPr="0027168A" w:rsidRDefault="0027168A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Dodgeball club now available every week (42 pupils attend). Contribution made towards external clubs’ fees. </w:t>
            </w:r>
            <w:r w:rsidRPr="004D2FFF">
              <w:rPr>
                <w:rFonts w:ascii="Comic Sans MS" w:hAnsi="Comic Sans MS"/>
              </w:rPr>
              <w:t>Every Key Stage 2 child received a session of</w:t>
            </w:r>
            <w:r>
              <w:rPr>
                <w:rFonts w:ascii="Comic Sans MS" w:hAnsi="Comic Sans MS"/>
              </w:rPr>
              <w:t xml:space="preserve"> outstanding Stoolball coaching, delivered by </w:t>
            </w:r>
            <w:r>
              <w:rPr>
                <w:rFonts w:ascii="Comic Sans MS" w:hAnsi="Comic Sans MS"/>
                <w:i/>
              </w:rPr>
              <w:t>Stoolball England.</w:t>
            </w:r>
          </w:p>
          <w:p w14:paraId="2C8FD50C" w14:textId="38EEC94D" w:rsidR="0027168A" w:rsidRDefault="0027168A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Travel costs for PE events (including District Sports). </w:t>
            </w:r>
          </w:p>
        </w:tc>
      </w:tr>
      <w:tr w:rsidR="00FE414B" w14:paraId="4D1127B6" w14:textId="77777777" w:rsidTr="009D73B9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6BDE71AD" w14:textId="257A5CCA" w:rsidR="00FE414B" w:rsidRDefault="00FE414B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provide pupils with opportunities for competitive sport, including inter-school competition.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FBBDF60" w14:textId="62467BC9" w:rsidR="00FE414B" w:rsidRDefault="00FE414B" w:rsidP="002716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£100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754482" w14:textId="1700F008" w:rsidR="00FE414B" w:rsidRDefault="00FE414B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Annual subscription of £50 necessary to maintain PE Partnership’s PE Coordinator; competition calendar in place across local schools.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D218E0" w14:textId="26CBADB6" w:rsidR="00FE414B" w:rsidRDefault="00FE414B" w:rsidP="00271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and Sport local schools partnership continues to thrive. An increasing number of pupils are able to participate in competitive sport, including inter-school competitions. </w:t>
            </w:r>
          </w:p>
        </w:tc>
      </w:tr>
      <w:tr w:rsidR="009D73B9" w14:paraId="1471B3AE" w14:textId="77777777" w:rsidTr="009D73B9">
        <w:trPr>
          <w:trHeight w:val="394"/>
        </w:trPr>
        <w:tc>
          <w:tcPr>
            <w:tcW w:w="2660" w:type="dxa"/>
            <w:shd w:val="clear" w:color="auto" w:fill="E5B8B7" w:themeFill="accent2" w:themeFillTint="66"/>
          </w:tcPr>
          <w:p w14:paraId="50D8AEBF" w14:textId="690887FD" w:rsidR="009D73B9" w:rsidRDefault="009D73B9" w:rsidP="009D73B9">
            <w:pPr>
              <w:jc w:val="right"/>
              <w:rPr>
                <w:rFonts w:ascii="Comic Sans MS" w:hAnsi="Comic Sans MS"/>
              </w:rPr>
            </w:pPr>
            <w:r w:rsidRPr="00EF5151">
              <w:rPr>
                <w:rFonts w:ascii="Comic Sans MS" w:hAnsi="Comic Sans MS"/>
                <w:sz w:val="28"/>
              </w:rPr>
              <w:t>Total</w:t>
            </w:r>
            <w:r>
              <w:rPr>
                <w:rFonts w:ascii="Comic Sans MS" w:hAnsi="Comic Sans MS"/>
                <w:sz w:val="28"/>
              </w:rPr>
              <w:t xml:space="preserve"> spend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23B4ADBB" w14:textId="30EE8A14" w:rsidR="009D73B9" w:rsidRDefault="009D73B9" w:rsidP="009D73B9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£45, 530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799854" w14:textId="77777777" w:rsidR="009D73B9" w:rsidRDefault="009D73B9" w:rsidP="009D73B9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5AD9B" w14:textId="4F4A1B5C" w:rsidR="009D73B9" w:rsidRDefault="009D73B9" w:rsidP="009D73B9">
            <w:pPr>
              <w:rPr>
                <w:rFonts w:ascii="Comic Sans MS" w:hAnsi="Comic Sans MS"/>
              </w:rPr>
            </w:pPr>
          </w:p>
        </w:tc>
      </w:tr>
      <w:tr w:rsidR="009D73B9" w14:paraId="07E4C377" w14:textId="77777777" w:rsidTr="009D73B9">
        <w:trPr>
          <w:trHeight w:val="273"/>
        </w:trPr>
        <w:tc>
          <w:tcPr>
            <w:tcW w:w="2660" w:type="dxa"/>
            <w:shd w:val="clear" w:color="auto" w:fill="E5B8B7" w:themeFill="accent2" w:themeFillTint="66"/>
          </w:tcPr>
          <w:p w14:paraId="74804380" w14:textId="637309C1" w:rsidR="009D73B9" w:rsidRDefault="009D73B9" w:rsidP="009D73B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Total income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77AA7A76" w14:textId="06FC105D" w:rsidR="009D73B9" w:rsidRDefault="009D73B9" w:rsidP="009D73B9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£46, 021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8EF89" w14:textId="77777777" w:rsidR="009D73B9" w:rsidRDefault="009D73B9" w:rsidP="009D73B9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3F8C" w14:textId="5E43A08C" w:rsidR="009D73B9" w:rsidRDefault="009D73B9" w:rsidP="009D73B9">
            <w:pPr>
              <w:rPr>
                <w:rFonts w:ascii="Comic Sans MS" w:hAnsi="Comic Sans MS"/>
              </w:rPr>
            </w:pPr>
          </w:p>
        </w:tc>
      </w:tr>
      <w:tr w:rsidR="009D73B9" w14:paraId="78EEC3CE" w14:textId="77777777" w:rsidTr="009D73B9">
        <w:trPr>
          <w:trHeight w:val="293"/>
        </w:trPr>
        <w:tc>
          <w:tcPr>
            <w:tcW w:w="2660" w:type="dxa"/>
            <w:shd w:val="clear" w:color="auto" w:fill="E5B8B7" w:themeFill="accent2" w:themeFillTint="66"/>
          </w:tcPr>
          <w:p w14:paraId="0B4F0B8A" w14:textId="02F0784C" w:rsidR="009D73B9" w:rsidRDefault="009D73B9" w:rsidP="009D73B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Carry forward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727A6879" w14:textId="6C96DBEA" w:rsidR="009D73B9" w:rsidRDefault="009D73B9" w:rsidP="009D73B9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£491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6E4C3" w14:textId="77777777" w:rsidR="009D73B9" w:rsidRDefault="009D73B9" w:rsidP="009D73B9">
            <w:pPr>
              <w:rPr>
                <w:rFonts w:ascii="Comic Sans MS" w:hAnsi="Comic Sans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01F3" w14:textId="7C7DD8BB" w:rsidR="009D73B9" w:rsidRDefault="009D73B9" w:rsidP="009D73B9">
            <w:pPr>
              <w:rPr>
                <w:rFonts w:ascii="Comic Sans MS" w:hAnsi="Comic Sans MS"/>
              </w:rPr>
            </w:pPr>
          </w:p>
        </w:tc>
      </w:tr>
    </w:tbl>
    <w:p w14:paraId="62E5B74F" w14:textId="28601F93" w:rsidR="009D73B9" w:rsidRDefault="009D73B9"/>
    <w:p w14:paraId="409828C0" w14:textId="77777777" w:rsidR="009D73B9" w:rsidRDefault="009D73B9"/>
    <w:tbl>
      <w:tblPr>
        <w:tblStyle w:val="TableGrid"/>
        <w:tblW w:w="13124" w:type="dxa"/>
        <w:tblLook w:val="04A0" w:firstRow="1" w:lastRow="0" w:firstColumn="1" w:lastColumn="0" w:noHBand="0" w:noVBand="1"/>
      </w:tblPr>
      <w:tblGrid>
        <w:gridCol w:w="2660"/>
        <w:gridCol w:w="1559"/>
        <w:gridCol w:w="4253"/>
        <w:gridCol w:w="4652"/>
      </w:tblGrid>
      <w:tr w:rsidR="00AE1881" w14:paraId="20D8E1CE" w14:textId="77777777" w:rsidTr="00AE1881">
        <w:trPr>
          <w:trHeight w:val="369"/>
        </w:trPr>
        <w:tc>
          <w:tcPr>
            <w:tcW w:w="13124" w:type="dxa"/>
            <w:gridSpan w:val="4"/>
            <w:shd w:val="clear" w:color="auto" w:fill="D6E3BC" w:themeFill="accent3" w:themeFillTint="66"/>
          </w:tcPr>
          <w:p w14:paraId="72B18F71" w14:textId="2791D534" w:rsidR="00AE1881" w:rsidRPr="00AE1881" w:rsidRDefault="009D73B9" w:rsidP="002716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Planned</w:t>
            </w:r>
            <w:r w:rsidR="00AE1881" w:rsidRPr="00AE1881">
              <w:rPr>
                <w:rFonts w:ascii="Comic Sans MS" w:hAnsi="Comic Sans MS"/>
                <w:sz w:val="36"/>
                <w:szCs w:val="36"/>
              </w:rPr>
              <w:t xml:space="preserve"> future spend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(costs approximate)</w:t>
            </w:r>
          </w:p>
        </w:tc>
      </w:tr>
      <w:tr w:rsidR="00AE1881" w14:paraId="2A3A3FA5" w14:textId="77777777" w:rsidTr="00AE1881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3313EC7F" w14:textId="10C79C0E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Top-up Swimming:</w:t>
            </w:r>
          </w:p>
          <w:p w14:paraId="1B051EA8" w14:textId="1E6488C6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ensure all pupils can swim 25m by the end of Year 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75C1DD" w14:textId="489483B5" w:rsidR="00AE1881" w:rsidRDefault="009D73B9" w:rsidP="00AE18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£50pa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9B02EA" w14:textId="11DFD618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provide Year 5 and 6 pupils with top up sessions. To meet the expectation that all pupils will be able to swim 25m by the end of primary school.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BBDB9" w14:textId="5651877D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 and 6 pupils (who cannot yet swim 25m) have annual top-up sessions during the summer term. </w:t>
            </w:r>
          </w:p>
        </w:tc>
      </w:tr>
      <w:tr w:rsidR="00AE1881" w14:paraId="7E46E0FF" w14:textId="77777777" w:rsidTr="00AE1881">
        <w:trPr>
          <w:trHeight w:val="1223"/>
        </w:trPr>
        <w:tc>
          <w:tcPr>
            <w:tcW w:w="2660" w:type="dxa"/>
            <w:shd w:val="clear" w:color="auto" w:fill="DBE5F1" w:themeFill="accent1" w:themeFillTint="33"/>
          </w:tcPr>
          <w:p w14:paraId="312D0A85" w14:textId="74E37D79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further links with community sports clubs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7F96536" w14:textId="214542BC" w:rsidR="00AE1881" w:rsidRDefault="009D73B9" w:rsidP="00AE18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£100pa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AC9ABE" w14:textId="04B9BE4D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aid the transition from school clubs to out of school clubs. To increase the number of pupils taking part in clubs outside school.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B9217E" w14:textId="7F756243" w:rsidR="00AE1881" w:rsidRDefault="009D73B9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Contribution towards subscription fees and equipment as necessary</w:t>
            </w:r>
          </w:p>
        </w:tc>
      </w:tr>
      <w:tr w:rsidR="00AE1881" w14:paraId="582AA3E9" w14:textId="77777777" w:rsidTr="00AE1881">
        <w:trPr>
          <w:trHeight w:val="926"/>
        </w:trPr>
        <w:tc>
          <w:tcPr>
            <w:tcW w:w="2660" w:type="dxa"/>
            <w:shd w:val="clear" w:color="auto" w:fill="DBE5F1" w:themeFill="accent1" w:themeFillTint="33"/>
          </w:tcPr>
          <w:p w14:paraId="4A0BA225" w14:textId="6C6661E0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Playtimes:</w:t>
            </w:r>
          </w:p>
          <w:p w14:paraId="32535A84" w14:textId="4489ECAC" w:rsidR="00AE1881" w:rsidRPr="00EF515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improve provision at playtimes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2C43539" w14:textId="1F656C53" w:rsidR="00AE1881" w:rsidRPr="00EF5151" w:rsidRDefault="009D73B9" w:rsidP="009D73B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£500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3A992E" w14:textId="5E1FFF6A" w:rsidR="00AE1881" w:rsidRPr="00EF515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ensure all pupils are engaged during all playtimes. To provide a range of physical activities during playtimes.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1372DE" w14:textId="79A4A464" w:rsidR="00AE1881" w:rsidRPr="00EF5151" w:rsidRDefault="009D73B9" w:rsidP="009D73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Provision improved, including adequate zoning, equipment and training</w:t>
            </w:r>
          </w:p>
        </w:tc>
      </w:tr>
      <w:tr w:rsidR="00AE1881" w14:paraId="7706DED0" w14:textId="77777777" w:rsidTr="00AE1881">
        <w:trPr>
          <w:trHeight w:val="1065"/>
        </w:trPr>
        <w:tc>
          <w:tcPr>
            <w:tcW w:w="2660" w:type="dxa"/>
            <w:shd w:val="clear" w:color="auto" w:fill="DBE5F1" w:themeFill="accent1" w:themeFillTint="33"/>
          </w:tcPr>
          <w:p w14:paraId="1ADD357F" w14:textId="78F28AE2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increase the breadth of the PE programme and a widening of opportunities on Early Years.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359FB31" w14:textId="5C73D600" w:rsidR="00AE1881" w:rsidRPr="00EF5151" w:rsidRDefault="009D73B9" w:rsidP="00AE18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£500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06472B" w14:textId="015E4AE8" w:rsidR="00AE1881" w:rsidRDefault="00AE1881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provide a wealth of PE activities to all pupils in Early Years. To improve provision of PE in Early Years. 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E4F138" w14:textId="7F955316" w:rsidR="00AE1881" w:rsidRDefault="009D73B9" w:rsidP="00AE1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Provision improved, including equipment and training </w:t>
            </w:r>
          </w:p>
        </w:tc>
      </w:tr>
    </w:tbl>
    <w:p w14:paraId="5AF2C07A" w14:textId="77777777" w:rsidR="00F86C92" w:rsidRDefault="00F86C92" w:rsidP="008109B7"/>
    <w:sectPr w:rsidR="00F86C92" w:rsidSect="001E2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B"/>
    <w:rsid w:val="000A06A8"/>
    <w:rsid w:val="001E2F8B"/>
    <w:rsid w:val="0027168A"/>
    <w:rsid w:val="00352D53"/>
    <w:rsid w:val="0037185C"/>
    <w:rsid w:val="004D2FFF"/>
    <w:rsid w:val="00574D6D"/>
    <w:rsid w:val="005C796B"/>
    <w:rsid w:val="006838C9"/>
    <w:rsid w:val="006D5333"/>
    <w:rsid w:val="008109B7"/>
    <w:rsid w:val="00826239"/>
    <w:rsid w:val="008C4DA6"/>
    <w:rsid w:val="009751E2"/>
    <w:rsid w:val="009A6C60"/>
    <w:rsid w:val="009D73B9"/>
    <w:rsid w:val="00AE1881"/>
    <w:rsid w:val="00EF5151"/>
    <w:rsid w:val="00F120D9"/>
    <w:rsid w:val="00F86C92"/>
    <w:rsid w:val="00FA3F0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C044"/>
  <w15:docId w15:val="{7392E600-A370-4701-8851-339313B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6</cp:revision>
  <dcterms:created xsi:type="dcterms:W3CDTF">2015-04-23T09:05:00Z</dcterms:created>
  <dcterms:modified xsi:type="dcterms:W3CDTF">2018-01-17T12:46:00Z</dcterms:modified>
</cp:coreProperties>
</file>