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5D" w:rsidRPr="009D461B" w:rsidRDefault="0002050E" w:rsidP="009D461B">
      <w:pPr>
        <w:jc w:val="center"/>
        <w:rPr>
          <w:rFonts w:ascii="Comic Sans MS" w:hAnsi="Comic Sans MS"/>
          <w:sz w:val="24"/>
          <w:u w:val="single"/>
        </w:rPr>
      </w:pPr>
      <w:r w:rsidRPr="009D461B">
        <w:rPr>
          <w:rFonts w:ascii="Comic Sans MS" w:hAnsi="Comic Sans MS"/>
          <w:sz w:val="24"/>
          <w:u w:val="single"/>
        </w:rPr>
        <w:t>Denton CP School</w:t>
      </w:r>
      <w:bookmarkStart w:id="0" w:name="_GoBack"/>
      <w:bookmarkEnd w:id="0"/>
    </w:p>
    <w:p w:rsidR="00F86C92" w:rsidRPr="00957EE0" w:rsidRDefault="00687C76" w:rsidP="009D461B">
      <w:pPr>
        <w:jc w:val="center"/>
        <w:rPr>
          <w:rFonts w:ascii="Comic Sans MS" w:hAnsi="Comic Sans MS"/>
          <w:b/>
          <w:color w:val="0070C0"/>
          <w:sz w:val="24"/>
        </w:rPr>
      </w:pPr>
      <w:r w:rsidRPr="00957EE0">
        <w:rPr>
          <w:rFonts w:ascii="Comic Sans MS" w:hAnsi="Comic Sans MS"/>
          <w:b/>
          <w:color w:val="0070C0"/>
          <w:sz w:val="24"/>
        </w:rPr>
        <w:t xml:space="preserve">Our Key Stage </w:t>
      </w:r>
      <w:r w:rsidR="00003527" w:rsidRPr="00957EE0">
        <w:rPr>
          <w:rFonts w:ascii="Comic Sans MS" w:hAnsi="Comic Sans MS"/>
          <w:b/>
          <w:color w:val="0070C0"/>
          <w:sz w:val="24"/>
        </w:rPr>
        <w:t>Two</w:t>
      </w:r>
      <w:r w:rsidRPr="00957EE0">
        <w:rPr>
          <w:rFonts w:ascii="Comic Sans MS" w:hAnsi="Comic Sans MS"/>
          <w:b/>
          <w:color w:val="0070C0"/>
          <w:sz w:val="24"/>
        </w:rPr>
        <w:t xml:space="preserve"> </w:t>
      </w:r>
      <w:r w:rsidR="00EC56B1" w:rsidRPr="00957EE0">
        <w:rPr>
          <w:rFonts w:ascii="Comic Sans MS" w:hAnsi="Comic Sans MS"/>
          <w:b/>
          <w:color w:val="0070C0"/>
          <w:sz w:val="24"/>
        </w:rPr>
        <w:t xml:space="preserve">(KS2) </w:t>
      </w:r>
      <w:r w:rsidRPr="00957EE0">
        <w:rPr>
          <w:rFonts w:ascii="Comic Sans MS" w:hAnsi="Comic Sans MS"/>
          <w:b/>
          <w:color w:val="0070C0"/>
          <w:sz w:val="24"/>
        </w:rPr>
        <w:t>2016 results are in blue</w:t>
      </w:r>
    </w:p>
    <w:p w:rsidR="00687C76" w:rsidRPr="00957EE0" w:rsidRDefault="00687C76" w:rsidP="009D461B">
      <w:pPr>
        <w:jc w:val="center"/>
        <w:rPr>
          <w:rFonts w:ascii="Comic Sans MS" w:hAnsi="Comic Sans MS"/>
          <w:b/>
          <w:color w:val="000000" w:themeColor="text1"/>
          <w:sz w:val="24"/>
        </w:rPr>
      </w:pPr>
      <w:r w:rsidRPr="00957EE0">
        <w:rPr>
          <w:rFonts w:ascii="Comic Sans MS" w:hAnsi="Comic Sans MS"/>
          <w:b/>
          <w:color w:val="000000" w:themeColor="text1"/>
          <w:sz w:val="24"/>
        </w:rPr>
        <w:t>The average scores nationally in 2016 are</w:t>
      </w:r>
      <w:r w:rsidR="00003527" w:rsidRPr="00957EE0">
        <w:rPr>
          <w:rFonts w:ascii="Comic Sans MS" w:hAnsi="Comic Sans MS"/>
          <w:b/>
          <w:color w:val="000000" w:themeColor="text1"/>
          <w:sz w:val="24"/>
        </w:rPr>
        <w:t xml:space="preserve"> in brackets</w:t>
      </w:r>
    </w:p>
    <w:p w:rsidR="00EF027E" w:rsidRDefault="00EF027E" w:rsidP="001A59B1">
      <w:pPr>
        <w:rPr>
          <w:rFonts w:ascii="Comic Sans MS" w:hAnsi="Comic Sans MS"/>
          <w:color w:val="FF0000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F027E" w:rsidTr="00EF027E">
        <w:tc>
          <w:tcPr>
            <w:tcW w:w="1803" w:type="dxa"/>
          </w:tcPr>
          <w:p w:rsidR="00EC56B1" w:rsidRDefault="00EC56B1" w:rsidP="00EF027E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EF027E" w:rsidRPr="00EC56B1" w:rsidRDefault="00EC56B1" w:rsidP="00EC56B1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</w:rPr>
            </w:pPr>
            <w:r w:rsidRPr="00EC56B1">
              <w:rPr>
                <w:rFonts w:ascii="Comic Sans MS" w:hAnsi="Comic Sans MS"/>
                <w:i/>
                <w:color w:val="FF0000"/>
                <w:sz w:val="24"/>
              </w:rPr>
              <w:t>Key Stage 2</w:t>
            </w:r>
          </w:p>
        </w:tc>
        <w:tc>
          <w:tcPr>
            <w:tcW w:w="1803" w:type="dxa"/>
          </w:tcPr>
          <w:p w:rsidR="00EF027E" w:rsidRPr="00EF027E" w:rsidRDefault="00EF027E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At the expected standard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Working at a higher standard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Progress from KS1 to KS2</w:t>
            </w:r>
          </w:p>
        </w:tc>
        <w:tc>
          <w:tcPr>
            <w:tcW w:w="1804" w:type="dxa"/>
          </w:tcPr>
          <w:p w:rsidR="00EF027E" w:rsidRPr="00EF027E" w:rsidRDefault="00EC56B1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Average Scaled S</w:t>
            </w:r>
            <w:r w:rsidR="00003527">
              <w:rPr>
                <w:rFonts w:ascii="Comic Sans MS" w:hAnsi="Comic Sans MS"/>
                <w:color w:val="000000" w:themeColor="text1"/>
                <w:sz w:val="24"/>
              </w:rPr>
              <w:t>core</w:t>
            </w:r>
          </w:p>
        </w:tc>
      </w:tr>
      <w:tr w:rsidR="00EF027E" w:rsidTr="00EF027E">
        <w:tc>
          <w:tcPr>
            <w:tcW w:w="1803" w:type="dxa"/>
          </w:tcPr>
          <w:p w:rsidR="00EF027E" w:rsidRDefault="00EF027E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F027E">
              <w:rPr>
                <w:rFonts w:ascii="Comic Sans MS" w:hAnsi="Comic Sans MS"/>
                <w:color w:val="000000" w:themeColor="text1"/>
                <w:sz w:val="24"/>
              </w:rPr>
              <w:t>Reading</w:t>
            </w:r>
          </w:p>
          <w:p w:rsidR="00003527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72%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(66%)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951E41">
              <w:rPr>
                <w:rFonts w:ascii="Comic Sans MS" w:hAnsi="Comic Sans MS"/>
                <w:color w:val="0070C0"/>
                <w:sz w:val="24"/>
              </w:rPr>
              <w:t>16%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(19%)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-0.3</w:t>
            </w:r>
            <w:r w:rsidRPr="00A64072">
              <w:rPr>
                <w:rFonts w:ascii="Comic Sans MS" w:hAnsi="Comic Sans MS"/>
                <w:color w:val="0070C0"/>
                <w:sz w:val="24"/>
              </w:rPr>
              <w:t>%</w:t>
            </w:r>
          </w:p>
        </w:tc>
        <w:tc>
          <w:tcPr>
            <w:tcW w:w="1804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56B1">
              <w:rPr>
                <w:rFonts w:ascii="Comic Sans MS" w:hAnsi="Comic Sans MS"/>
                <w:color w:val="0070C0"/>
                <w:sz w:val="24"/>
              </w:rPr>
              <w:t>103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 xml:space="preserve"> (103)</w:t>
            </w:r>
          </w:p>
        </w:tc>
      </w:tr>
      <w:tr w:rsidR="00EF027E" w:rsidTr="00EF027E">
        <w:tc>
          <w:tcPr>
            <w:tcW w:w="1803" w:type="dxa"/>
          </w:tcPr>
          <w:p w:rsidR="00EF027E" w:rsidRDefault="00EF027E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Writing</w:t>
            </w:r>
          </w:p>
          <w:p w:rsidR="00EF027E" w:rsidRPr="00EF027E" w:rsidRDefault="00EF027E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87%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(74%)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B42CAD">
              <w:rPr>
                <w:rFonts w:ascii="Comic Sans MS" w:hAnsi="Comic Sans MS"/>
                <w:color w:val="0070C0"/>
                <w:sz w:val="24"/>
              </w:rPr>
              <w:t>9%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(15%)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0.5</w:t>
            </w:r>
            <w:r w:rsidRPr="00A64072">
              <w:rPr>
                <w:rFonts w:ascii="Comic Sans MS" w:hAnsi="Comic Sans MS"/>
                <w:color w:val="0070C0"/>
                <w:sz w:val="24"/>
              </w:rPr>
              <w:t>%</w:t>
            </w:r>
          </w:p>
        </w:tc>
        <w:tc>
          <w:tcPr>
            <w:tcW w:w="1804" w:type="dxa"/>
          </w:tcPr>
          <w:p w:rsidR="00EF027E" w:rsidRPr="00EF027E" w:rsidRDefault="00EC56B1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-</w:t>
            </w:r>
          </w:p>
        </w:tc>
      </w:tr>
      <w:tr w:rsidR="00EF027E" w:rsidTr="00EF027E">
        <w:tc>
          <w:tcPr>
            <w:tcW w:w="1803" w:type="dxa"/>
          </w:tcPr>
          <w:p w:rsidR="00EF027E" w:rsidRDefault="00EF027E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Maths</w:t>
            </w:r>
          </w:p>
          <w:p w:rsidR="00EF027E" w:rsidRPr="00EF027E" w:rsidRDefault="00EF027E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81%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(70%)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9</w:t>
            </w:r>
            <w:r w:rsidRPr="00951E41">
              <w:rPr>
                <w:rFonts w:ascii="Comic Sans MS" w:hAnsi="Comic Sans MS"/>
                <w:color w:val="0070C0"/>
                <w:sz w:val="24"/>
              </w:rPr>
              <w:t>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(17%)</w:t>
            </w:r>
          </w:p>
        </w:tc>
        <w:tc>
          <w:tcPr>
            <w:tcW w:w="1803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003527">
              <w:rPr>
                <w:rFonts w:ascii="Comic Sans MS" w:hAnsi="Comic Sans MS"/>
                <w:color w:val="0070C0"/>
                <w:sz w:val="24"/>
              </w:rPr>
              <w:t>-</w:t>
            </w:r>
            <w:r>
              <w:rPr>
                <w:rFonts w:ascii="Comic Sans MS" w:hAnsi="Comic Sans MS"/>
                <w:color w:val="0070C0"/>
                <w:sz w:val="24"/>
              </w:rPr>
              <w:t>1.7</w:t>
            </w:r>
            <w:r w:rsidRPr="00A64072">
              <w:rPr>
                <w:rFonts w:ascii="Comic Sans MS" w:hAnsi="Comic Sans MS"/>
                <w:color w:val="0070C0"/>
                <w:sz w:val="24"/>
              </w:rPr>
              <w:t>%</w:t>
            </w:r>
          </w:p>
        </w:tc>
        <w:tc>
          <w:tcPr>
            <w:tcW w:w="1804" w:type="dxa"/>
          </w:tcPr>
          <w:p w:rsidR="00EF027E" w:rsidRPr="00EF027E" w:rsidRDefault="00003527" w:rsidP="00003527">
            <w:pPr>
              <w:spacing w:before="240"/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B42CAD">
              <w:rPr>
                <w:rFonts w:ascii="Comic Sans MS" w:hAnsi="Comic Sans MS"/>
                <w:color w:val="0070C0"/>
                <w:sz w:val="24"/>
              </w:rPr>
              <w:t xml:space="preserve">102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(103)</w:t>
            </w:r>
          </w:p>
        </w:tc>
      </w:tr>
      <w:tr w:rsidR="00003527" w:rsidTr="00EF027E">
        <w:tc>
          <w:tcPr>
            <w:tcW w:w="1803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Grammar, Punctuation and Spelling</w:t>
            </w:r>
          </w:p>
        </w:tc>
        <w:tc>
          <w:tcPr>
            <w:tcW w:w="1803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:rsidR="00003527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81%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(72%)</w:t>
            </w:r>
          </w:p>
        </w:tc>
        <w:tc>
          <w:tcPr>
            <w:tcW w:w="1803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:rsidR="00003527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9</w:t>
            </w:r>
            <w:r w:rsidRPr="00951E41">
              <w:rPr>
                <w:rFonts w:ascii="Comic Sans MS" w:hAnsi="Comic Sans MS"/>
                <w:color w:val="0070C0"/>
                <w:sz w:val="24"/>
              </w:rPr>
              <w:t>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(22%)</w:t>
            </w:r>
          </w:p>
        </w:tc>
        <w:tc>
          <w:tcPr>
            <w:tcW w:w="1803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EC56B1" w:rsidRPr="00EF027E" w:rsidRDefault="00EC56B1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-</w:t>
            </w:r>
          </w:p>
        </w:tc>
        <w:tc>
          <w:tcPr>
            <w:tcW w:w="1804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:rsidR="00003527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B42CAD">
              <w:rPr>
                <w:rFonts w:ascii="Comic Sans MS" w:hAnsi="Comic Sans MS"/>
                <w:color w:val="0070C0"/>
                <w:sz w:val="24"/>
              </w:rPr>
              <w:t>103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(104)</w:t>
            </w:r>
          </w:p>
        </w:tc>
      </w:tr>
      <w:tr w:rsidR="00EF027E" w:rsidTr="00EF027E">
        <w:tc>
          <w:tcPr>
            <w:tcW w:w="1803" w:type="dxa"/>
          </w:tcPr>
          <w:p w:rsidR="00EF027E" w:rsidRPr="00EF027E" w:rsidRDefault="00EF027E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F027E">
              <w:rPr>
                <w:rFonts w:ascii="Comic Sans MS" w:hAnsi="Comic Sans MS"/>
                <w:color w:val="000000" w:themeColor="text1"/>
                <w:sz w:val="24"/>
              </w:rPr>
              <w:t>Reading, Writing and Maths</w:t>
            </w:r>
            <w:r w:rsidR="00EC56B1">
              <w:rPr>
                <w:rFonts w:ascii="Comic Sans MS" w:hAnsi="Comic Sans MS"/>
                <w:color w:val="000000" w:themeColor="text1"/>
                <w:sz w:val="24"/>
              </w:rPr>
              <w:t xml:space="preserve"> combined</w:t>
            </w:r>
          </w:p>
        </w:tc>
        <w:tc>
          <w:tcPr>
            <w:tcW w:w="1803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:rsidR="00EF027E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62.5</w:t>
            </w:r>
            <w:r w:rsidRPr="008E627D">
              <w:rPr>
                <w:rFonts w:ascii="Comic Sans MS" w:hAnsi="Comic Sans MS"/>
                <w:color w:val="0070C0"/>
                <w:sz w:val="24"/>
              </w:rPr>
              <w:t>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(53%)</w:t>
            </w:r>
          </w:p>
        </w:tc>
        <w:tc>
          <w:tcPr>
            <w:tcW w:w="1803" w:type="dxa"/>
          </w:tcPr>
          <w:p w:rsidR="00003527" w:rsidRDefault="00003527" w:rsidP="00003527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</w:p>
          <w:p w:rsidR="00EF027E" w:rsidRPr="00EF027E" w:rsidRDefault="00003527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951E41">
              <w:rPr>
                <w:rFonts w:ascii="Comic Sans MS" w:hAnsi="Comic Sans MS"/>
                <w:color w:val="0070C0"/>
                <w:sz w:val="24"/>
              </w:rPr>
              <w:t>3%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Pr="00003527">
              <w:rPr>
                <w:rFonts w:ascii="Comic Sans MS" w:hAnsi="Comic Sans MS"/>
                <w:color w:val="000000" w:themeColor="text1"/>
                <w:sz w:val="24"/>
              </w:rPr>
              <w:t>(5%)</w:t>
            </w:r>
          </w:p>
        </w:tc>
        <w:tc>
          <w:tcPr>
            <w:tcW w:w="1803" w:type="dxa"/>
          </w:tcPr>
          <w:p w:rsidR="00EF027E" w:rsidRDefault="00EF027E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EC56B1" w:rsidRPr="00EF027E" w:rsidRDefault="00EC56B1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-</w:t>
            </w:r>
          </w:p>
        </w:tc>
        <w:tc>
          <w:tcPr>
            <w:tcW w:w="1804" w:type="dxa"/>
          </w:tcPr>
          <w:p w:rsidR="00EF027E" w:rsidRDefault="00EF027E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  <w:p w:rsidR="00EC56B1" w:rsidRPr="00EF027E" w:rsidRDefault="00EC56B1" w:rsidP="0000352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-</w:t>
            </w:r>
          </w:p>
        </w:tc>
      </w:tr>
    </w:tbl>
    <w:p w:rsidR="00EF027E" w:rsidRDefault="00EF027E" w:rsidP="00EF027E">
      <w:pPr>
        <w:rPr>
          <w:rFonts w:ascii="Comic Sans MS" w:hAnsi="Comic Sans MS"/>
          <w:color w:val="000000" w:themeColor="text1"/>
          <w:sz w:val="24"/>
          <w:u w:val="single"/>
        </w:rPr>
      </w:pPr>
    </w:p>
    <w:p w:rsidR="00EC56B1" w:rsidRDefault="00EC56B1" w:rsidP="00EF027E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  <w:u w:val="single"/>
        </w:rPr>
        <w:t>NB:</w:t>
      </w:r>
      <w:r w:rsidRPr="00EC56B1">
        <w:rPr>
          <w:rFonts w:ascii="Comic Sans MS" w:hAnsi="Comic Sans MS"/>
          <w:color w:val="000000" w:themeColor="text1"/>
          <w:sz w:val="24"/>
        </w:rPr>
        <w:t xml:space="preserve"> </w:t>
      </w:r>
    </w:p>
    <w:p w:rsidR="00EC56B1" w:rsidRDefault="00EC56B1" w:rsidP="00EC56B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 w:rsidRPr="00EC56B1">
        <w:rPr>
          <w:rFonts w:ascii="Comic Sans MS" w:hAnsi="Comic Sans MS"/>
          <w:color w:val="000000" w:themeColor="text1"/>
          <w:sz w:val="24"/>
        </w:rPr>
        <w:t>There is no Average Scaled Score</w:t>
      </w:r>
      <w:r>
        <w:rPr>
          <w:rFonts w:ascii="Comic Sans MS" w:hAnsi="Comic Sans MS"/>
          <w:color w:val="000000" w:themeColor="text1"/>
          <w:sz w:val="24"/>
        </w:rPr>
        <w:t xml:space="preserve"> for Writing as there is no Year 6 writing test. Instead, teacher assessment is used. As such, there is no Average Scaled Score for Reading, Writing and Maths combined.</w:t>
      </w:r>
    </w:p>
    <w:p w:rsidR="00FF550F" w:rsidRPr="001A59B1" w:rsidRDefault="00EC56B1" w:rsidP="001A59B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Progress is measure</w:t>
      </w:r>
      <w:r w:rsidR="00511A88">
        <w:rPr>
          <w:rFonts w:ascii="Comic Sans MS" w:hAnsi="Comic Sans MS"/>
          <w:color w:val="000000" w:themeColor="text1"/>
          <w:sz w:val="24"/>
        </w:rPr>
        <w:t>d</w:t>
      </w:r>
      <w:r>
        <w:rPr>
          <w:rFonts w:ascii="Comic Sans MS" w:hAnsi="Comic Sans MS"/>
          <w:color w:val="000000" w:themeColor="text1"/>
          <w:sz w:val="24"/>
        </w:rPr>
        <w:t xml:space="preserve"> from Key Stage One (KS1) to Key Stage Two (KS2) in Reading, Writing and a</w:t>
      </w:r>
      <w:r w:rsidR="001A59B1">
        <w:rPr>
          <w:rFonts w:ascii="Comic Sans MS" w:hAnsi="Comic Sans MS"/>
          <w:color w:val="000000" w:themeColor="text1"/>
          <w:sz w:val="24"/>
        </w:rPr>
        <w:t>lso Maths. There is no available</w:t>
      </w:r>
      <w:r>
        <w:rPr>
          <w:rFonts w:ascii="Comic Sans MS" w:hAnsi="Comic Sans MS"/>
          <w:color w:val="000000" w:themeColor="text1"/>
          <w:sz w:val="24"/>
        </w:rPr>
        <w:t xml:space="preserve"> progress data for Grammar, Punctuation and Spelling or Reading, Writing and Maths combined. </w:t>
      </w:r>
    </w:p>
    <w:sectPr w:rsidR="00FF550F" w:rsidRPr="001A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F18"/>
    <w:multiLevelType w:val="hybridMultilevel"/>
    <w:tmpl w:val="AE1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E"/>
    <w:rsid w:val="00003527"/>
    <w:rsid w:val="00003CBB"/>
    <w:rsid w:val="0002050E"/>
    <w:rsid w:val="000C5326"/>
    <w:rsid w:val="0013084C"/>
    <w:rsid w:val="001A59B1"/>
    <w:rsid w:val="001F783D"/>
    <w:rsid w:val="0021593B"/>
    <w:rsid w:val="00346462"/>
    <w:rsid w:val="004A70A8"/>
    <w:rsid w:val="00511A88"/>
    <w:rsid w:val="0054766B"/>
    <w:rsid w:val="005D60F0"/>
    <w:rsid w:val="006510D7"/>
    <w:rsid w:val="00687C76"/>
    <w:rsid w:val="006F4367"/>
    <w:rsid w:val="0072245D"/>
    <w:rsid w:val="007D2E07"/>
    <w:rsid w:val="00856F31"/>
    <w:rsid w:val="008E627D"/>
    <w:rsid w:val="008E7D77"/>
    <w:rsid w:val="00951E41"/>
    <w:rsid w:val="00957EE0"/>
    <w:rsid w:val="009D461B"/>
    <w:rsid w:val="00A12D27"/>
    <w:rsid w:val="00A51D0E"/>
    <w:rsid w:val="00A64072"/>
    <w:rsid w:val="00A87C30"/>
    <w:rsid w:val="00A87D04"/>
    <w:rsid w:val="00A90C7B"/>
    <w:rsid w:val="00B42CAD"/>
    <w:rsid w:val="00BC1A83"/>
    <w:rsid w:val="00DA72AB"/>
    <w:rsid w:val="00E32171"/>
    <w:rsid w:val="00EC56B1"/>
    <w:rsid w:val="00EF027E"/>
    <w:rsid w:val="00F86C92"/>
    <w:rsid w:val="00F975F4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E850-4AE7-42FA-ABE8-39FCC95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67"/>
    <w:pPr>
      <w:ind w:left="720"/>
      <w:contextualSpacing/>
    </w:pPr>
  </w:style>
  <w:style w:type="table" w:styleId="TableGrid">
    <w:name w:val="Table Grid"/>
    <w:basedOn w:val="TableNormal"/>
    <w:uiPriority w:val="59"/>
    <w:rsid w:val="00EF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33C6-570B-4547-8323-7954DB96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Guy Walsh</cp:lastModifiedBy>
  <cp:revision>3</cp:revision>
  <cp:lastPrinted>2016-07-12T07:55:00Z</cp:lastPrinted>
  <dcterms:created xsi:type="dcterms:W3CDTF">2017-02-22T11:03:00Z</dcterms:created>
  <dcterms:modified xsi:type="dcterms:W3CDTF">2017-02-22T11:12:00Z</dcterms:modified>
</cp:coreProperties>
</file>